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2378FF"/>
          <w:sz w:val="18"/>
        </w:rPr>
        <w:t>EZY PZ WORKING TOOL</w:t>
      </w:r>
    </w:p>
    <w:p>
      <w:pPr>
        <w:spacing w:after="100"/>
      </w:pPr>
      <w:r>
        <w:rPr>
          <w:b/>
          <w:color w:val="0C1E36"/>
          <w:sz w:val="54"/>
        </w:rPr>
        <w:t>Quarterly Compliance Review Workbook</w:t>
      </w:r>
    </w:p>
    <w:p>
      <w:pPr>
        <w:spacing w:after="320"/>
      </w:pPr>
      <w:r>
        <w:rPr>
          <w:color w:val="5B6C82"/>
          <w:sz w:val="24"/>
        </w:rPr>
        <w:t>Run a repeatable evidence-based review across licensing, advertising, records, privacy, vendors, training, and corrective action.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fill="EEF4FF"/>
          </w:tcPr>
          <w:p>
            <w:pPr>
              <w:spacing w:after="0"/>
            </w:pPr>
            <w:r>
              <w:rPr>
                <w:color w:val="0C1E36"/>
                <w:sz w:val="18"/>
              </w:rPr>
              <w:t>This is a general control workbook, not a substitute for a current legal or regulatory program. Tailor scope and evidence to the organization, jurisdiction, products, and regulator expectations.</w:t>
            </w:r>
          </w:p>
        </w:tc>
      </w:tr>
    </w:tbl>
    <w:p>
      <w:pPr>
        <w:pStyle w:val="Heading1"/>
      </w:pPr>
      <w:r>
        <w:t>Review control</w:t>
      </w:r>
    </w:p>
    <w:p>
      <w:pPr>
        <w:spacing w:before="100" w:after="20"/>
      </w:pPr>
      <w:r>
        <w:rPr>
          <w:b/>
        </w:rPr>
        <w:t>Scope and period</w:t>
      </w:r>
      <w:r>
        <w:rPr>
          <w:i/>
          <w:color w:val="5B6C82"/>
          <w:sz w:val="18"/>
        </w:rPr>
        <w:t xml:space="preserve">  Entities, locations, channels, products, and dates reviewed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Reviewer and evidence sources</w:t>
      </w:r>
      <w:r>
        <w:rPr>
          <w:i/>
          <w:color w:val="5B6C82"/>
          <w:sz w:val="18"/>
        </w:rPr>
        <w:t xml:space="preserve">  Systems, samples, reports, policies, and interviews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pStyle w:val="Heading1"/>
      </w:pPr>
      <w:r>
        <w:t>Licensing and registrations</w:t>
      </w:r>
    </w:p>
    <w:p>
      <w:pPr>
        <w:pStyle w:val="ListBullet"/>
      </w:pPr>
      <w:r>
        <w:t>Entity and individual licenses/registrations reviewed</w:t>
      </w:r>
    </w:p>
    <w:p>
      <w:pPr>
        <w:pStyle w:val="ListBullet"/>
      </w:pPr>
      <w:r>
        <w:t>Renewal, sponsorship, branch, and disclosure records current</w:t>
      </w:r>
    </w:p>
    <w:p>
      <w:pPr>
        <w:pStyle w:val="ListBullet"/>
      </w:pPr>
      <w:r>
        <w:t>Public-facing names and identifiers match approved records</w:t>
      </w:r>
    </w:p>
    <w:p>
      <w:pPr>
        <w:spacing w:before="100" w:after="20"/>
      </w:pPr>
      <w:r>
        <w:rPr>
          <w:b/>
        </w:rPr>
        <w:t>Exceptions and evidence</w:t>
      </w:r>
      <w:r>
        <w:rPr>
          <w:i/>
          <w:color w:val="5B6C82"/>
          <w:sz w:val="18"/>
        </w:rPr>
        <w:t xml:space="preserve">  Finding, requirement, owner, due date, and proof of correction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pStyle w:val="Heading1"/>
      </w:pPr>
      <w:r>
        <w:t>Advertising and communications</w:t>
      </w:r>
    </w:p>
    <w:p>
      <w:pPr>
        <w:pStyle w:val="ListBullet"/>
      </w:pPr>
      <w:r>
        <w:t>Website, social, email, print, and partner content sampled</w:t>
      </w:r>
    </w:p>
    <w:p>
      <w:pPr>
        <w:pStyle w:val="ListBullet"/>
      </w:pPr>
      <w:r>
        <w:t>Required disclosures and identifiers present</w:t>
      </w:r>
    </w:p>
    <w:p>
      <w:pPr>
        <w:pStyle w:val="ListBullet"/>
      </w:pPr>
      <w:r>
        <w:t>Claims, testimonials, rates, and comparisons supported</w:t>
      </w:r>
    </w:p>
    <w:p>
      <w:pPr>
        <w:pStyle w:val="ListBullet"/>
      </w:pPr>
      <w:r>
        <w:t>Unapproved or stale content removed</w:t>
      </w:r>
    </w:p>
    <w:p>
      <w:pPr>
        <w:spacing w:before="100" w:after="20"/>
      </w:pPr>
      <w:r>
        <w:rPr>
          <w:b/>
        </w:rPr>
        <w:t>Sample and findings</w:t>
      </w:r>
      <w:r>
        <w:rPr>
          <w:i/>
          <w:color w:val="5B6C82"/>
          <w:sz w:val="18"/>
        </w:rPr>
        <w:t xml:space="preserve">  URL/file, date, owner, result, and corrective action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pStyle w:val="Heading1"/>
      </w:pPr>
      <w:r>
        <w:t>Privacy, security, and records</w:t>
      </w:r>
    </w:p>
    <w:p>
      <w:pPr>
        <w:pStyle w:val="ListBullet"/>
      </w:pPr>
      <w:r>
        <w:t>Access and role changes reviewed</w:t>
      </w:r>
    </w:p>
    <w:p>
      <w:pPr>
        <w:pStyle w:val="ListBullet"/>
      </w:pPr>
      <w:r>
        <w:t>Sensitive data locations and transfers sampled</w:t>
      </w:r>
    </w:p>
    <w:p>
      <w:pPr>
        <w:pStyle w:val="ListBullet"/>
      </w:pPr>
      <w:r>
        <w:t>Incident, complaint, and exception logs reviewed</w:t>
      </w:r>
    </w:p>
    <w:p>
      <w:pPr>
        <w:pStyle w:val="ListBullet"/>
      </w:pPr>
      <w:r>
        <w:t>Retention and disposal controls tested</w:t>
      </w:r>
    </w:p>
    <w:p>
      <w:pPr>
        <w:pStyle w:val="ListBullet"/>
      </w:pPr>
      <w:r>
        <w:t>Vendor access and attestations current</w:t>
      </w:r>
    </w:p>
    <w:p>
      <w:pPr>
        <w:spacing w:before="100" w:after="20"/>
      </w:pPr>
      <w:r>
        <w:rPr>
          <w:b/>
        </w:rPr>
        <w:t>Control gaps</w:t>
      </w:r>
      <w:r>
        <w:rPr>
          <w:i/>
          <w:color w:val="5B6C82"/>
          <w:sz w:val="18"/>
        </w:rPr>
        <w:t xml:space="preserve">  Risk, immediate containment, owner, and target date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pStyle w:val="Heading1"/>
      </w:pPr>
      <w:r>
        <w:t>Training and supervision</w:t>
      </w:r>
    </w:p>
    <w:p>
      <w:pPr>
        <w:pStyle w:val="ListBullet"/>
      </w:pPr>
      <w:r>
        <w:t>Required training completion reconciled</w:t>
      </w:r>
    </w:p>
    <w:p>
      <w:pPr>
        <w:pStyle w:val="ListBullet"/>
      </w:pPr>
      <w:r>
        <w:t>New and changed requirements communicated</w:t>
      </w:r>
    </w:p>
    <w:p>
      <w:pPr>
        <w:pStyle w:val="ListBullet"/>
      </w:pPr>
      <w:r>
        <w:t>Supervisory reviews completed and evidenced</w:t>
      </w:r>
    </w:p>
    <w:p>
      <w:pPr>
        <w:pStyle w:val="ListBullet"/>
      </w:pPr>
      <w:r>
        <w:t>Repeat findings escalated</w:t>
      </w:r>
    </w:p>
    <w:p>
      <w:pPr>
        <w:spacing w:before="100" w:after="20"/>
      </w:pPr>
      <w:r>
        <w:rPr>
          <w:b/>
        </w:rPr>
        <w:t>Coaching or remediation plan</w:t>
      </w:r>
      <w:r>
        <w:rPr>
          <w:i/>
          <w:color w:val="5B6C82"/>
          <w:sz w:val="18"/>
        </w:rPr>
        <w:t xml:space="preserve">  Audience, content, owner, date, and effectiveness check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pStyle w:val="Heading1"/>
      </w:pPr>
      <w:r>
        <w:t>Closeout</w:t>
      </w:r>
    </w:p>
    <w:p>
      <w:pPr>
        <w:spacing w:before="100" w:after="20"/>
      </w:pPr>
      <w:r>
        <w:rPr>
          <w:b/>
        </w:rPr>
        <w:t>High-risk items</w:t>
      </w:r>
      <w:r>
        <w:rPr>
          <w:i/>
          <w:color w:val="5B6C82"/>
          <w:sz w:val="18"/>
        </w:rPr>
        <w:t xml:space="preserve">  Immediate decision and interim control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Action register</w:t>
      </w:r>
      <w:r>
        <w:rPr>
          <w:i/>
          <w:color w:val="5B6C82"/>
          <w:sz w:val="18"/>
        </w:rPr>
        <w:t xml:space="preserve">  Finding, severity, owner, due date, status, evidence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before="100" w:after="20"/>
      </w:pPr>
      <w:r>
        <w:rPr>
          <w:b/>
        </w:rPr>
        <w:t>Management sign-off</w:t>
      </w:r>
      <w:r>
        <w:rPr>
          <w:i/>
          <w:color w:val="5B6C82"/>
          <w:sz w:val="18"/>
        </w:rPr>
        <w:t xml:space="preserve">  Decisions, accepted risk, and next review date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p>
      <w:pPr>
        <w:spacing w:after="40"/>
      </w:pPr>
      <w:r>
        <w:rPr>
          <w:color w:val="CAD2DD"/>
        </w:rPr>
        <w:t>________________________________________________________________________________</w:t>
      </w:r>
    </w:p>
    <w:sectPr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B6C82"/>
        <w:sz w:val="16"/>
      </w:rPr>
      <w:t>Free to use and adapt  |  ezypz.com  |  General information only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color w:val="5B6C82"/>
        <w:sz w:val="16"/>
      </w:rPr>
      <w:t>EZY PZ LTD  /  FREE WORKING TEMPLATE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88" w:lineRule="auto"/>
    </w:pPr>
    <w:rPr>
      <w:rFonts w:ascii="Calibri" w:hAnsi="Calibri"/>
      <w:color w:val="0C1E36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160"/>
      <w:outlineLvl w:val="0"/>
    </w:pPr>
    <w:rPr>
      <w:rFonts w:asciiTheme="majorHAnsi" w:eastAsiaTheme="majorEastAsia" w:hAnsiTheme="majorHAnsi" w:cstheme="majorBidi" w:ascii="Calibri" w:hAnsi="Calibri"/>
      <w:b/>
      <w:bCs/>
      <w:color w:val="2378FF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Calibri" w:hAnsi="Calibri"/>
      <w:b/>
      <w:bCs/>
      <w:color w:val="2378F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Calibri" w:hAnsi="Calibri"/>
      <w:b/>
      <w:bCs/>
      <w:color w:val="2378FF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Compliance Review Workbook</dc:title>
  <dc:subject/>
  <dc:creator/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