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Mortgage Lead Intake Workbook</w:t>
      </w:r>
    </w:p>
    <w:p>
      <w:pPr>
        <w:spacing w:after="320"/>
      </w:pPr>
      <w:r>
        <w:rPr>
          <w:color w:val="5B6C82"/>
          <w:sz w:val="24"/>
        </w:rPr>
        <w:t>Capture the borrower’s goal, timeline, property, income, assets, obligations, and documentation status before discussing options.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This is an intake aid, not an application, approval, rate quote, or credit decision. Follow applicable licensing, fair-lending, privacy, and record-retention requirements.</w:t>
            </w:r>
          </w:p>
        </w:tc>
      </w:tr>
    </w:tbl>
    <w:p>
      <w:pPr>
        <w:pStyle w:val="Heading1"/>
      </w:pPr>
      <w:r>
        <w:t>Borrower goal</w:t>
      </w:r>
    </w:p>
    <w:p>
      <w:pPr>
        <w:spacing w:before="100" w:after="20"/>
      </w:pPr>
      <w:r>
        <w:rPr>
          <w:b/>
        </w:rPr>
        <w:t>Primary objective</w:t>
      </w:r>
      <w:r>
        <w:rPr>
          <w:i/>
          <w:color w:val="5B6C82"/>
          <w:sz w:val="18"/>
        </w:rPr>
        <w:t xml:space="preserve">  Purchase, refinance, cash flow, construction, investment, or other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Most important tradeoff</w:t>
      </w:r>
      <w:r>
        <w:rPr>
          <w:i/>
          <w:color w:val="5B6C82"/>
          <w:sz w:val="18"/>
        </w:rPr>
        <w:t xml:space="preserve">  Payment, cash to close, certainty, speed, flexibility, or long-term cost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Required date and reason</w:t>
      </w:r>
      <w:r>
        <w:rPr>
          <w:i/>
          <w:color w:val="5B6C82"/>
          <w:sz w:val="18"/>
        </w:rPr>
        <w:t xml:space="preserve">  Contract, lease, sale, build, or planning target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Property and transaction</w:t>
      </w:r>
    </w:p>
    <w:p>
      <w:pPr>
        <w:spacing w:before="100" w:after="20"/>
      </w:pPr>
      <w:r>
        <w:rPr>
          <w:b/>
        </w:rPr>
        <w:t>Property status</w:t>
      </w:r>
      <w:r>
        <w:rPr>
          <w:i/>
          <w:color w:val="5B6C82"/>
          <w:sz w:val="18"/>
        </w:rPr>
        <w:t xml:space="preserve">  Identified or not; occupancy, type, location, and estimated value/price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Transaction parties</w:t>
      </w:r>
      <w:r>
        <w:rPr>
          <w:i/>
          <w:color w:val="5B6C82"/>
          <w:sz w:val="18"/>
        </w:rPr>
        <w:t xml:space="preserve">  Agent, builder, title/escrow, attorney, or other contacts when applicable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Income and employment</w:t>
      </w:r>
    </w:p>
    <w:p>
      <w:pPr>
        <w:spacing w:before="100" w:after="20"/>
      </w:pPr>
      <w:r>
        <w:rPr>
          <w:b/>
        </w:rPr>
        <w:t>Income sources</w:t>
      </w:r>
      <w:r>
        <w:rPr>
          <w:i/>
          <w:color w:val="5B6C82"/>
          <w:sz w:val="18"/>
        </w:rPr>
        <w:t xml:space="preserve">  Employment, self-employment, retirement, rental, benefits, or other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Variability and history</w:t>
      </w:r>
      <w:r>
        <w:rPr>
          <w:i/>
          <w:color w:val="5B6C82"/>
          <w:sz w:val="18"/>
        </w:rPr>
        <w:t xml:space="preserve">  Commission, bonus, overtime, seasonal, recent changes, or business ownership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Assets and obligations</w:t>
      </w:r>
    </w:p>
    <w:p>
      <w:pPr>
        <w:spacing w:before="100" w:after="20"/>
      </w:pPr>
      <w:r>
        <w:rPr>
          <w:b/>
        </w:rPr>
        <w:t>Funds available and source</w:t>
      </w:r>
      <w:r>
        <w:rPr>
          <w:i/>
          <w:color w:val="5B6C82"/>
          <w:sz w:val="18"/>
        </w:rPr>
        <w:t xml:space="preserve">  Do not request account credentials; identify type and approximate amount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Major obligations</w:t>
      </w:r>
      <w:r>
        <w:rPr>
          <w:i/>
          <w:color w:val="5B6C82"/>
          <w:sz w:val="18"/>
        </w:rPr>
        <w:t xml:space="preserve">  Housing, installment, revolving, support, business debt, or contingent liabilities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Credit and history</w:t>
      </w:r>
    </w:p>
    <w:p>
      <w:pPr>
        <w:spacing w:before="100" w:after="20"/>
      </w:pPr>
      <w:r>
        <w:rPr>
          <w:b/>
        </w:rPr>
        <w:t>Known issues to discuss</w:t>
      </w:r>
      <w:r>
        <w:rPr>
          <w:i/>
          <w:color w:val="5B6C82"/>
          <w:sz w:val="18"/>
        </w:rPr>
        <w:t xml:space="preserve">  Recent inquiries, disputes, freezes, late payments, bankruptcy, foreclosure, or identity concerns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Documents available / missing</w:t>
      </w:r>
      <w:r>
        <w:rPr>
          <w:i/>
          <w:color w:val="5B6C82"/>
          <w:sz w:val="18"/>
        </w:rPr>
        <w:t xml:space="preserve">  List what exists and what still must be securely collected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Next step</w:t>
      </w:r>
    </w:p>
    <w:p>
      <w:pPr>
        <w:spacing w:before="100" w:after="20"/>
      </w:pPr>
      <w:r>
        <w:rPr>
          <w:b/>
        </w:rPr>
        <w:t>Question that must be answered first</w:t>
      </w:r>
      <w:r>
        <w:rPr>
          <w:i/>
          <w:color w:val="5B6C82"/>
          <w:sz w:val="18"/>
        </w:rPr>
        <w:t xml:space="preserve">  The decision-driving unknown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Owner, action, and date</w:t>
      </w:r>
      <w:r>
        <w:rPr>
          <w:i/>
          <w:color w:val="5B6C82"/>
          <w:sz w:val="18"/>
        </w:rPr>
        <w:t xml:space="preserve">  Who does what next and by when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Lead Intake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